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</w:t>
      </w:r>
      <w:r w:rsidDel="00000000" w:rsidR="00000000" w:rsidRPr="00000000">
        <w:rPr>
          <w:rFonts w:ascii="Ubuntu" w:cs="Ubuntu" w:eastAsia="Ubuntu" w:hAnsi="Ubuntu"/>
          <w:i w:val="1"/>
          <w:color w:val="333333"/>
          <w:u w:val="single"/>
          <w:vertAlign w:val="baseline"/>
          <w:rtl w:val="0"/>
        </w:rPr>
        <w:t xml:space="preserve"> como mínimo el </w:t>
      </w:r>
      <w:r w:rsidDel="00000000" w:rsidR="00000000" w:rsidRPr="00000000">
        <w:rPr>
          <w:rFonts w:ascii="Ubuntu" w:cs="Ubuntu" w:eastAsia="Ubuntu" w:hAnsi="Ubuntu"/>
          <w:i w:val="1"/>
          <w:color w:val="333333"/>
          <w:u w:val="single"/>
          <w:rtl w:val="0"/>
        </w:rPr>
        <w:t xml:space="preserve">60</w:t>
      </w:r>
      <w:r w:rsidDel="00000000" w:rsidR="00000000" w:rsidRPr="00000000">
        <w:rPr>
          <w:rFonts w:ascii="Ubuntu" w:cs="Ubuntu" w:eastAsia="Ubuntu" w:hAnsi="Ubuntu"/>
          <w:i w:val="1"/>
          <w:color w:val="333333"/>
          <w:u w:val="single"/>
          <w:vertAlign w:val="baseline"/>
          <w:rtl w:val="0"/>
        </w:rPr>
        <w:t xml:space="preserve">% de materias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</w:rPr>
      </w:pP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8- Conocimiento en Word y Excel, disposición a aprender tareas nuevas, capacidad para trabajar en equipo, facilidad para aceptar normas y estructuras establecidas, creatividad para proponer mejoras en el desarrollo de las tareas, habilidades para comunicarse verbalmente de manera formal y respetuosa, así como buena redacción. 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5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Dirección General del Sistema Solidario Seguro de Vida Entre Ríos del Ministerio de Hacienda y Finanzas - Gobierno de Entre Ríos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Control de pólizas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Escaneo de pólizas para su posterior carga en el SIAF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Atención al público y recepción de trámites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Redacción de notas; generación de expedientes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Realización de trámites internos y demás tareas que se le encomienden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Utilización de distintos sistemas como SIAF, Sistema de Gestión de Expedientes, etc.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Revisión y contestación de correos electrónicos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Recepción y control de trámites para cobro del seguro. </w:t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5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1" w:line="276" w:lineRule="auto"/>
        <w:ind w:right="6285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A la Secretar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ía</w:t>
      </w: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31">
      <w:pPr>
        <w:widowControl w:val="0"/>
        <w:spacing w:after="0" w:before="1" w:line="276" w:lineRule="auto"/>
        <w:ind w:right="6285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76" w:lineRule="auto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5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7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9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A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2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53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54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A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E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F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60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61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5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UyoZSY/RZ6+2UfuN2Zu2I98hg==">CgMxLjAyCGguZ2pkZ3hzOAByITFLTTlOQWlLVEowcTlYSXBQYlVXMm5vQmJ5YWFKU1JXTA==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