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Municipalidad de La Paz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 - Sede La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la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Tecnicatura en Administración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Tareas referidas a la atención al público y administración. Además, deberá realizar capacitaciones relacionadas al derecho y defensa de las y los consumidores y usuarios.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</w:t>
      </w:r>
      <w:r w:rsidDel="00000000" w:rsidR="00000000" w:rsidRPr="00000000">
        <w:rPr>
          <w:rFonts w:ascii="Arial" w:cs="Arial" w:eastAsia="Arial" w:hAnsi="Arial"/>
          <w:rtl w:val="0"/>
        </w:rPr>
        <w:t xml:space="preserve">Sede La Paz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fcg_lapaz@uader.edu.ar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105660" cy="2222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105660" cy="22225"/>
                <wp:effectExtent b="0" l="0" r="0" t="0"/>
                <wp:wrapTopAndBottom distB="0" dist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8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9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jDkrEdQN4eE1lEw6S3+n7ESlg==">CgMxLjAyCGguZ2pkZ3hzOAByITFuQ1RQMUV0SU9kYzlBOERpNEpGUmNpSUpRMmtlQ3YtYw==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