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dos (2) asignaturas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70% de materias correspondiente al Plan de Estudios de la carrera, de acuerdo a lo solicitado por el organismo,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18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TESORERÍA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GENERAL DE LA PROVINCIA - MINISTERIO DE ECONOMÍA, HACIENDA Y FINANZAS – GOBIERNO DE ENTRE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RÍOS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CUATRO (4)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estudiantes de la carrera Lic. en Administración Pública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Ejecutar tareas propias del Departamento Administración Personal, Suministros y Despacho. Emitir órdenes de pago y otros instrumentos propios de la tesorería. Intervenir en la operatoria de recepción de fondos y valores y efectivizar los pagos que se dispongan.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Confeccionar informes contables y financieros.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CV abreviado (remitir modelos adjuntos), adjuntar además foto del DNI y Certificación Negativa.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  <w:tab/>
        <w:t xml:space="preserve">de 2023.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D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2F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0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9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0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5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025"/>
                          <a:ext cx="6250940" cy="1524635"/>
                          <a:chOff x="2220525" y="3017025"/>
                          <a:chExt cx="6250950" cy="1524675"/>
                        </a:xfrm>
                      </wpg:grpSpPr>
                      <wpg:grpSp>
                        <wpg:cNvGrpSpPr/>
                        <wpg:grpSpPr>
                          <a:xfrm>
                            <a:off x="2220530" y="3017048"/>
                            <a:ext cx="6250940" cy="1524635"/>
                            <a:chOff x="1128" y="273"/>
                            <a:chExt cx="9844" cy="240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28" y="274"/>
                              <a:ext cx="9825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38" y="283"/>
                              <a:ext cx="9825" cy="2382"/>
                            </a:xfrm>
                            <a:prstGeom prst="rect">
                              <a:avLst/>
                            </a:pr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128" y="273"/>
                              <a:ext cx="9844" cy="2401"/>
                            </a:xfrm>
                            <a:custGeom>
                              <a:rect b="b" l="l" r="r" t="t"/>
                              <a:pathLst>
                                <a:path extrusionOk="0" h="2401" w="9844">
                                  <a:moveTo>
                                    <a:pt x="9835" y="2391"/>
                                  </a:moveTo>
                                  <a:lnTo>
                                    <a:pt x="10" y="2391"/>
                                  </a:lnTo>
                                  <a:lnTo>
                                    <a:pt x="0" y="2391"/>
                                  </a:lnTo>
                                  <a:lnTo>
                                    <a:pt x="0" y="2400"/>
                                  </a:lnTo>
                                  <a:lnTo>
                                    <a:pt x="10" y="2400"/>
                                  </a:lnTo>
                                  <a:lnTo>
                                    <a:pt x="9835" y="2400"/>
                                  </a:lnTo>
                                  <a:lnTo>
                                    <a:pt x="9835" y="2391"/>
                                  </a:lnTo>
                                  <a:close/>
                                  <a:moveTo>
                                    <a:pt x="983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1"/>
                                  </a:lnTo>
                                  <a:lnTo>
                                    <a:pt x="10" y="239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9835" y="9"/>
                                  </a:lnTo>
                                  <a:lnTo>
                                    <a:pt x="9835" y="0"/>
                                  </a:lnTo>
                                  <a:close/>
                                  <a:moveTo>
                                    <a:pt x="9844" y="2391"/>
                                  </a:moveTo>
                                  <a:lnTo>
                                    <a:pt x="9835" y="2391"/>
                                  </a:lnTo>
                                  <a:lnTo>
                                    <a:pt x="9835" y="2400"/>
                                  </a:lnTo>
                                  <a:lnTo>
                                    <a:pt x="9844" y="2400"/>
                                  </a:lnTo>
                                  <a:lnTo>
                                    <a:pt x="9844" y="2391"/>
                                  </a:lnTo>
                                  <a:close/>
                                  <a:moveTo>
                                    <a:pt x="9844" y="0"/>
                                  </a:moveTo>
                                  <a:lnTo>
                                    <a:pt x="9835" y="0"/>
                                  </a:lnTo>
                                  <a:lnTo>
                                    <a:pt x="9835" y="2391"/>
                                  </a:lnTo>
                                  <a:lnTo>
                                    <a:pt x="9844" y="2391"/>
                                  </a:lnTo>
                                  <a:lnTo>
                                    <a:pt x="9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0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2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1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5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3.xml"/><Relationship Id="rId14" Type="http://schemas.openxmlformats.org/officeDocument/2006/relationships/header" Target="header4.xml"/><Relationship Id="rId17" Type="http://schemas.openxmlformats.org/officeDocument/2006/relationships/footer" Target="footer3.xml"/><Relationship Id="rId16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5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RFOdrd/R58mQ/DhwMzsOpcdRJQ==">CgMxLjAyCGguZ2pkZ3hzOAByITFZdkN1bUhIelhQSk5KaDd5Zi1fTktwTVNFSHh0dHNQVQ==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